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3AFE4C">
      <w:pPr>
        <w:spacing w:line="560" w:lineRule="exact"/>
        <w:rPr>
          <w:rFonts w:ascii="微软简标宋" w:hAnsi="仿宋" w:eastAsia="微软简标宋"/>
          <w:sz w:val="40"/>
          <w:szCs w:val="36"/>
        </w:rPr>
      </w:pPr>
      <w:r>
        <w:rPr>
          <w:rFonts w:hint="eastAsia" w:ascii="黑体" w:hAnsi="黑体" w:eastAsia="黑体"/>
          <w:color w:val="000000"/>
          <w:sz w:val="32"/>
          <w:szCs w:val="32"/>
        </w:rPr>
        <w:t>附件</w:t>
      </w:r>
      <w:r>
        <w:rPr>
          <w:rFonts w:ascii="黑体" w:hAnsi="黑体" w:eastAsia="黑体"/>
          <w:color w:val="000000"/>
          <w:sz w:val="32"/>
          <w:szCs w:val="32"/>
        </w:rPr>
        <w:t>5</w:t>
      </w:r>
    </w:p>
    <w:p w14:paraId="4C33EC80">
      <w:pPr>
        <w:spacing w:line="520" w:lineRule="exact"/>
        <w:jc w:val="center"/>
        <w:rPr>
          <w:rFonts w:ascii="宋体" w:hAnsi="宋体" w:eastAsia="宋体"/>
          <w:b/>
          <w:sz w:val="40"/>
          <w:szCs w:val="36"/>
        </w:rPr>
      </w:pPr>
      <w:r>
        <w:rPr>
          <w:rFonts w:hint="eastAsia" w:ascii="宋体" w:hAnsi="宋体" w:eastAsia="宋体"/>
          <w:b/>
          <w:sz w:val="40"/>
          <w:szCs w:val="36"/>
        </w:rPr>
        <w:t>第</w:t>
      </w:r>
      <w:r>
        <w:rPr>
          <w:rFonts w:hint="eastAsia" w:ascii="宋体" w:hAnsi="宋体" w:eastAsia="宋体"/>
          <w:b/>
          <w:sz w:val="40"/>
          <w:szCs w:val="36"/>
          <w:lang w:eastAsia="zh-CN"/>
        </w:rPr>
        <w:t>九</w:t>
      </w:r>
      <w:r>
        <w:rPr>
          <w:rFonts w:hint="eastAsia" w:ascii="宋体" w:hAnsi="宋体" w:eastAsia="宋体"/>
          <w:b/>
          <w:sz w:val="40"/>
          <w:szCs w:val="36"/>
        </w:rPr>
        <w:t>届江门律协委员会承诺书</w:t>
      </w:r>
    </w:p>
    <w:p w14:paraId="38167201">
      <w:pPr>
        <w:spacing w:line="520" w:lineRule="exact"/>
        <w:jc w:val="center"/>
        <w:rPr>
          <w:rFonts w:ascii="楷体_GB2312" w:hAnsi="仿宋" w:eastAsia="楷体_GB2312"/>
          <w:sz w:val="32"/>
          <w:szCs w:val="32"/>
        </w:rPr>
      </w:pPr>
      <w:r>
        <w:rPr>
          <w:rFonts w:hint="eastAsia" w:ascii="楷体_GB2312" w:hAnsi="Cambria" w:eastAsia="楷体_GB2312" w:cs="Cambria"/>
          <w:sz w:val="32"/>
          <w:szCs w:val="32"/>
        </w:rPr>
        <w:t>（专业委员会）</w:t>
      </w:r>
    </w:p>
    <w:p w14:paraId="4B27C27F">
      <w:pPr>
        <w:spacing w:before="326" w:beforeLines="100" w:line="520" w:lineRule="exact"/>
        <w:ind w:firstLine="640" w:firstLineChars="200"/>
        <w:rPr>
          <w:rFonts w:ascii="仿宋_GB2312" w:hAnsi="仿宋" w:eastAsia="仿宋_GB2312"/>
          <w:sz w:val="32"/>
          <w:szCs w:val="28"/>
        </w:rPr>
      </w:pPr>
      <w:r>
        <w:rPr>
          <w:rFonts w:hint="eastAsia" w:ascii="仿宋_GB2312" w:hAnsi="仿宋" w:eastAsia="仿宋_GB2312"/>
          <w:sz w:val="32"/>
          <w:szCs w:val="28"/>
        </w:rPr>
        <w:t>本人系</w:t>
      </w:r>
      <w:r>
        <w:rPr>
          <w:rFonts w:ascii="仿宋_GB2312" w:hAnsi="仿宋" w:eastAsia="仿宋_GB2312"/>
          <w:sz w:val="32"/>
          <w:szCs w:val="28"/>
          <w:u w:val="single"/>
        </w:rPr>
        <w:t xml:space="preserve">           </w:t>
      </w:r>
      <w:r>
        <w:rPr>
          <w:rFonts w:hint="eastAsia" w:ascii="仿宋_GB2312" w:hAnsi="仿宋" w:eastAsia="仿宋_GB2312"/>
          <w:sz w:val="32"/>
          <w:szCs w:val="28"/>
        </w:rPr>
        <w:t>律师事务所</w:t>
      </w:r>
      <w:r>
        <w:rPr>
          <w:rFonts w:ascii="仿宋_GB2312" w:hAnsi="仿宋" w:eastAsia="仿宋_GB2312"/>
          <w:sz w:val="32"/>
          <w:szCs w:val="28"/>
          <w:u w:val="single"/>
        </w:rPr>
        <w:t xml:space="preserve">          </w:t>
      </w:r>
      <w:r>
        <w:rPr>
          <w:rFonts w:hint="eastAsia" w:ascii="仿宋_GB2312" w:hAnsi="仿宋" w:eastAsia="仿宋_GB2312"/>
          <w:sz w:val="32"/>
          <w:szCs w:val="28"/>
        </w:rPr>
        <w:t>律师，申报参加江门律协</w:t>
      </w:r>
      <w:r>
        <w:rPr>
          <w:rFonts w:ascii="仿宋_GB2312" w:hAnsi="仿宋" w:eastAsia="仿宋_GB2312"/>
          <w:sz w:val="32"/>
          <w:szCs w:val="28"/>
          <w:u w:val="single"/>
        </w:rPr>
        <w:t xml:space="preserve">                      </w:t>
      </w:r>
      <w:r>
        <w:rPr>
          <w:rFonts w:hint="eastAsia" w:ascii="仿宋_GB2312" w:hAnsi="仿宋" w:eastAsia="仿宋_GB2312"/>
          <w:sz w:val="32"/>
          <w:szCs w:val="28"/>
          <w:u w:val="none"/>
          <w:lang w:eastAsia="zh-CN"/>
        </w:rPr>
        <w:t>专业</w:t>
      </w:r>
      <w:r>
        <w:rPr>
          <w:rFonts w:hint="eastAsia" w:ascii="仿宋_GB2312" w:hAnsi="仿宋" w:eastAsia="仿宋_GB2312"/>
          <w:sz w:val="32"/>
          <w:szCs w:val="28"/>
        </w:rPr>
        <w:t>委员会。</w:t>
      </w:r>
    </w:p>
    <w:p w14:paraId="216B756A">
      <w:pPr>
        <w:spacing w:line="520" w:lineRule="exact"/>
        <w:ind w:firstLine="640" w:firstLineChars="200"/>
        <w:rPr>
          <w:rFonts w:ascii="仿宋_GB2312" w:hAnsi="仿宋" w:eastAsia="仿宋_GB2312"/>
          <w:sz w:val="32"/>
          <w:szCs w:val="28"/>
        </w:rPr>
      </w:pPr>
      <w:r>
        <w:rPr>
          <w:rFonts w:hint="eastAsia" w:ascii="仿宋_GB2312" w:hAnsi="仿宋" w:eastAsia="仿宋_GB2312"/>
          <w:sz w:val="32"/>
          <w:szCs w:val="28"/>
        </w:rPr>
        <w:t>本人清楚</w:t>
      </w:r>
      <w:r>
        <w:rPr>
          <w:rFonts w:hint="eastAsia" w:ascii="仿宋_GB2312" w:hAnsi="仿宋" w:eastAsia="仿宋_GB2312"/>
          <w:color w:val="000000"/>
          <w:sz w:val="32"/>
          <w:szCs w:val="28"/>
        </w:rPr>
        <w:t>知悉</w:t>
      </w:r>
      <w:r>
        <w:rPr>
          <w:rFonts w:hint="eastAsia" w:ascii="仿宋_GB2312" w:hAnsi="仿宋" w:eastAsia="仿宋_GB2312"/>
          <w:sz w:val="32"/>
          <w:szCs w:val="28"/>
        </w:rPr>
        <w:t>，江门律协专业委员会的职能包括但不限于：</w:t>
      </w:r>
    </w:p>
    <w:p w14:paraId="668656CB">
      <w:pPr>
        <w:spacing w:line="520" w:lineRule="exact"/>
        <w:ind w:firstLine="640" w:firstLineChars="200"/>
        <w:rPr>
          <w:rFonts w:ascii="仿宋_GB2312" w:hAnsi="仿宋" w:eastAsia="仿宋_GB2312"/>
          <w:sz w:val="32"/>
          <w:szCs w:val="28"/>
        </w:rPr>
      </w:pPr>
      <w:r>
        <w:rPr>
          <w:rFonts w:ascii="仿宋_GB2312" w:hAnsi="仿宋" w:eastAsia="仿宋_GB2312"/>
          <w:sz w:val="32"/>
          <w:szCs w:val="28"/>
        </w:rPr>
        <w:t>1.</w:t>
      </w:r>
      <w:r>
        <w:rPr>
          <w:rFonts w:hint="eastAsia" w:ascii="仿宋_GB2312" w:hAnsi="仿宋" w:eastAsia="仿宋_GB2312"/>
          <w:sz w:val="32"/>
          <w:szCs w:val="28"/>
        </w:rPr>
        <w:t>起草或者修改完善本专业业务操作指引（一年内完成）；</w:t>
      </w:r>
      <w:bookmarkStart w:id="0" w:name="_GoBack"/>
      <w:bookmarkEnd w:id="0"/>
    </w:p>
    <w:p w14:paraId="32C7FB88">
      <w:pPr>
        <w:spacing w:line="520" w:lineRule="exact"/>
        <w:ind w:firstLine="640" w:firstLineChars="200"/>
        <w:rPr>
          <w:rFonts w:ascii="仿宋_GB2312" w:hAnsi="仿宋" w:eastAsia="仿宋_GB2312"/>
          <w:color w:val="000000"/>
          <w:sz w:val="32"/>
          <w:szCs w:val="28"/>
        </w:rPr>
      </w:pPr>
      <w:r>
        <w:rPr>
          <w:rFonts w:ascii="仿宋_GB2312" w:hAnsi="仿宋" w:eastAsia="仿宋_GB2312"/>
          <w:sz w:val="32"/>
          <w:szCs w:val="28"/>
        </w:rPr>
        <w:t>2.</w:t>
      </w:r>
      <w:r>
        <w:rPr>
          <w:rFonts w:hint="eastAsia" w:ascii="仿宋_GB2312" w:hAnsi="仿宋" w:eastAsia="仿宋_GB2312"/>
          <w:sz w:val="32"/>
          <w:szCs w:val="28"/>
        </w:rPr>
        <w:t>研</w:t>
      </w:r>
      <w:r>
        <w:rPr>
          <w:rFonts w:hint="eastAsia" w:ascii="仿宋_GB2312" w:hAnsi="仿宋" w:eastAsia="仿宋_GB2312"/>
          <w:color w:val="000000"/>
          <w:sz w:val="32"/>
          <w:szCs w:val="28"/>
        </w:rPr>
        <w:t>究本专业法律业务新产品（每年</w:t>
      </w:r>
      <w:r>
        <w:rPr>
          <w:rFonts w:ascii="仿宋_GB2312" w:hAnsi="仿宋" w:eastAsia="仿宋_GB2312"/>
          <w:color w:val="000000"/>
          <w:sz w:val="32"/>
          <w:szCs w:val="28"/>
        </w:rPr>
        <w:t>1</w:t>
      </w:r>
      <w:r>
        <w:rPr>
          <w:rFonts w:hint="eastAsia" w:ascii="仿宋_GB2312" w:hAnsi="仿宋" w:eastAsia="仿宋_GB2312"/>
          <w:color w:val="000000"/>
          <w:sz w:val="32"/>
          <w:szCs w:val="28"/>
        </w:rPr>
        <w:t>个）；</w:t>
      </w:r>
    </w:p>
    <w:p w14:paraId="53BEF349">
      <w:pPr>
        <w:spacing w:line="520" w:lineRule="exact"/>
        <w:ind w:firstLine="640" w:firstLineChars="200"/>
        <w:rPr>
          <w:rFonts w:ascii="仿宋_GB2312" w:hAnsi="仿宋" w:eastAsia="仿宋_GB2312"/>
          <w:color w:val="000000"/>
          <w:sz w:val="32"/>
          <w:szCs w:val="28"/>
        </w:rPr>
      </w:pPr>
      <w:r>
        <w:rPr>
          <w:rFonts w:ascii="仿宋_GB2312" w:hAnsi="仿宋" w:eastAsia="仿宋_GB2312"/>
          <w:color w:val="000000"/>
          <w:sz w:val="32"/>
          <w:szCs w:val="28"/>
        </w:rPr>
        <w:t>3.</w:t>
      </w:r>
      <w:r>
        <w:rPr>
          <w:rFonts w:hint="eastAsia" w:ascii="仿宋_GB2312" w:hAnsi="仿宋" w:eastAsia="仿宋_GB2312"/>
          <w:color w:val="000000"/>
          <w:sz w:val="32"/>
          <w:szCs w:val="28"/>
        </w:rPr>
        <w:t>发布本专业法律年度观察报告（每年</w:t>
      </w:r>
      <w:r>
        <w:rPr>
          <w:rFonts w:ascii="仿宋_GB2312" w:hAnsi="仿宋" w:eastAsia="仿宋_GB2312"/>
          <w:color w:val="000000"/>
          <w:sz w:val="32"/>
          <w:szCs w:val="28"/>
        </w:rPr>
        <w:t>1</w:t>
      </w:r>
      <w:r>
        <w:rPr>
          <w:rFonts w:hint="eastAsia" w:ascii="仿宋_GB2312" w:hAnsi="仿宋" w:eastAsia="仿宋_GB2312"/>
          <w:color w:val="000000"/>
          <w:sz w:val="32"/>
          <w:szCs w:val="28"/>
        </w:rPr>
        <w:t>次）；</w:t>
      </w:r>
    </w:p>
    <w:p w14:paraId="0019FDAA">
      <w:pPr>
        <w:spacing w:line="520" w:lineRule="exact"/>
        <w:ind w:firstLine="640" w:firstLineChars="200"/>
        <w:rPr>
          <w:rFonts w:ascii="仿宋_GB2312" w:hAnsi="仿宋" w:eastAsia="仿宋_GB2312"/>
          <w:color w:val="000000"/>
          <w:sz w:val="32"/>
          <w:szCs w:val="28"/>
        </w:rPr>
      </w:pPr>
      <w:r>
        <w:rPr>
          <w:rFonts w:ascii="仿宋_GB2312" w:hAnsi="仿宋" w:eastAsia="仿宋_GB2312"/>
          <w:color w:val="000000"/>
          <w:sz w:val="32"/>
          <w:szCs w:val="28"/>
        </w:rPr>
        <w:t>4.</w:t>
      </w:r>
      <w:r>
        <w:rPr>
          <w:rFonts w:hint="eastAsia" w:ascii="仿宋_GB2312" w:hAnsi="仿宋" w:eastAsia="仿宋_GB2312"/>
          <w:color w:val="000000"/>
          <w:sz w:val="32"/>
          <w:szCs w:val="28"/>
        </w:rPr>
        <w:t>评选本专业年度十大典型案例（每年</w:t>
      </w:r>
      <w:r>
        <w:rPr>
          <w:rFonts w:ascii="仿宋_GB2312" w:hAnsi="仿宋" w:eastAsia="仿宋_GB2312"/>
          <w:color w:val="000000"/>
          <w:sz w:val="32"/>
          <w:szCs w:val="28"/>
        </w:rPr>
        <w:t>1</w:t>
      </w:r>
      <w:r>
        <w:rPr>
          <w:rFonts w:hint="eastAsia" w:ascii="仿宋_GB2312" w:hAnsi="仿宋" w:eastAsia="仿宋_GB2312"/>
          <w:color w:val="000000"/>
          <w:sz w:val="32"/>
          <w:szCs w:val="28"/>
        </w:rPr>
        <w:t>次）；</w:t>
      </w:r>
    </w:p>
    <w:p w14:paraId="07F11DC8">
      <w:pPr>
        <w:spacing w:line="520" w:lineRule="exact"/>
        <w:ind w:firstLine="640" w:firstLineChars="200"/>
        <w:rPr>
          <w:rFonts w:ascii="仿宋_GB2312" w:hAnsi="仿宋" w:eastAsia="仿宋_GB2312"/>
          <w:color w:val="000000"/>
          <w:sz w:val="32"/>
          <w:szCs w:val="28"/>
        </w:rPr>
      </w:pPr>
      <w:r>
        <w:rPr>
          <w:rFonts w:ascii="仿宋_GB2312" w:hAnsi="仿宋" w:eastAsia="仿宋_GB2312"/>
          <w:color w:val="000000"/>
          <w:sz w:val="32"/>
          <w:szCs w:val="28"/>
        </w:rPr>
        <w:t>5.</w:t>
      </w:r>
      <w:r>
        <w:rPr>
          <w:rFonts w:hint="eastAsia" w:ascii="仿宋_GB2312" w:hAnsi="仿宋" w:eastAsia="仿宋_GB2312"/>
          <w:color w:val="000000"/>
          <w:sz w:val="32"/>
          <w:szCs w:val="28"/>
        </w:rPr>
        <w:t>举办本专业业务培训讲座（每年不少于</w:t>
      </w:r>
      <w:r>
        <w:rPr>
          <w:rFonts w:ascii="仿宋_GB2312" w:hAnsi="仿宋" w:eastAsia="仿宋_GB2312"/>
          <w:color w:val="000000"/>
          <w:sz w:val="32"/>
          <w:szCs w:val="28"/>
        </w:rPr>
        <w:t>1</w:t>
      </w:r>
      <w:r>
        <w:rPr>
          <w:rFonts w:hint="eastAsia" w:ascii="仿宋_GB2312" w:hAnsi="仿宋" w:eastAsia="仿宋_GB2312"/>
          <w:color w:val="000000"/>
          <w:sz w:val="32"/>
          <w:szCs w:val="28"/>
        </w:rPr>
        <w:t>次）；</w:t>
      </w:r>
    </w:p>
    <w:p w14:paraId="37D4BDC2">
      <w:pPr>
        <w:spacing w:line="520" w:lineRule="exact"/>
        <w:ind w:firstLine="640" w:firstLineChars="200"/>
        <w:rPr>
          <w:rFonts w:ascii="仿宋_GB2312" w:hAnsi="仿宋" w:eastAsia="仿宋_GB2312"/>
          <w:color w:val="000000"/>
          <w:sz w:val="32"/>
          <w:szCs w:val="28"/>
        </w:rPr>
      </w:pPr>
      <w:r>
        <w:rPr>
          <w:rFonts w:ascii="仿宋_GB2312" w:hAnsi="仿宋" w:eastAsia="仿宋_GB2312"/>
          <w:color w:val="000000"/>
          <w:sz w:val="32"/>
          <w:szCs w:val="28"/>
        </w:rPr>
        <w:t>6.</w:t>
      </w:r>
      <w:r>
        <w:rPr>
          <w:rFonts w:hint="eastAsia" w:ascii="仿宋_GB2312" w:hAnsi="仿宋" w:eastAsia="仿宋_GB2312"/>
          <w:color w:val="000000"/>
          <w:sz w:val="32"/>
          <w:szCs w:val="28"/>
        </w:rPr>
        <w:t>讨论律师所报送的重大疑难复杂敏感案件</w:t>
      </w:r>
      <w:r>
        <w:rPr>
          <w:rFonts w:ascii="仿宋_GB2312" w:hAnsi="仿宋" w:eastAsia="仿宋_GB2312"/>
          <w:color w:val="000000"/>
          <w:sz w:val="32"/>
          <w:szCs w:val="28"/>
        </w:rPr>
        <w:t>;</w:t>
      </w:r>
    </w:p>
    <w:p w14:paraId="65C5E6C5">
      <w:pPr>
        <w:spacing w:line="520" w:lineRule="exact"/>
        <w:ind w:firstLine="640" w:firstLineChars="200"/>
        <w:rPr>
          <w:rFonts w:ascii="仿宋_GB2312" w:hAnsi="仿宋" w:eastAsia="仿宋_GB2312"/>
          <w:color w:val="000000"/>
          <w:sz w:val="32"/>
          <w:szCs w:val="28"/>
        </w:rPr>
      </w:pPr>
      <w:r>
        <w:rPr>
          <w:rFonts w:ascii="仿宋_GB2312" w:hAnsi="仿宋" w:eastAsia="仿宋_GB2312"/>
          <w:color w:val="000000"/>
          <w:sz w:val="32"/>
          <w:szCs w:val="28"/>
        </w:rPr>
        <w:t>7.</w:t>
      </w:r>
      <w:r>
        <w:rPr>
          <w:rFonts w:hint="eastAsia" w:ascii="仿宋_GB2312" w:hAnsi="仿宋" w:eastAsia="仿宋_GB2312"/>
          <w:color w:val="000000"/>
          <w:sz w:val="32"/>
          <w:szCs w:val="28"/>
        </w:rPr>
        <w:t>撰写本专业法律实务论文、经典案例（本届内至少</w:t>
      </w:r>
      <w:r>
        <w:rPr>
          <w:rFonts w:ascii="仿宋_GB2312" w:hAnsi="仿宋" w:eastAsia="仿宋_GB2312"/>
          <w:color w:val="000000"/>
          <w:sz w:val="32"/>
          <w:szCs w:val="28"/>
        </w:rPr>
        <w:t>2</w:t>
      </w:r>
      <w:r>
        <w:rPr>
          <w:rFonts w:hint="eastAsia" w:ascii="仿宋_GB2312" w:hAnsi="仿宋" w:eastAsia="仿宋_GB2312"/>
          <w:color w:val="000000"/>
          <w:sz w:val="32"/>
          <w:szCs w:val="28"/>
        </w:rPr>
        <w:t>篇）。</w:t>
      </w:r>
    </w:p>
    <w:p w14:paraId="28E7BEEA">
      <w:pPr>
        <w:spacing w:line="520" w:lineRule="exact"/>
        <w:ind w:firstLine="640" w:firstLineChars="200"/>
        <w:rPr>
          <w:rFonts w:ascii="仿宋_GB2312" w:hAnsi="仿宋" w:eastAsia="仿宋_GB2312"/>
          <w:sz w:val="32"/>
          <w:szCs w:val="28"/>
        </w:rPr>
      </w:pPr>
      <w:r>
        <w:rPr>
          <w:rFonts w:hint="eastAsia" w:ascii="仿宋_GB2312" w:hAnsi="仿宋" w:eastAsia="仿宋_GB2312"/>
          <w:sz w:val="32"/>
          <w:szCs w:val="28"/>
        </w:rPr>
        <w:t>江门律协每年将对委员会和委员（含主任、副主任）上一年度的履职情况进行年度考评，不称职者按程序退出委员会。</w:t>
      </w:r>
    </w:p>
    <w:p w14:paraId="0248FC46">
      <w:pPr>
        <w:spacing w:line="520" w:lineRule="exact"/>
        <w:ind w:firstLine="640" w:firstLineChars="200"/>
        <w:rPr>
          <w:rFonts w:ascii="仿宋_GB2312" w:hAnsi="仿宋" w:eastAsia="仿宋_GB2312"/>
          <w:sz w:val="32"/>
          <w:szCs w:val="28"/>
        </w:rPr>
      </w:pPr>
      <w:r>
        <w:rPr>
          <w:rFonts w:hint="eastAsia" w:ascii="仿宋_GB2312" w:hAnsi="仿宋" w:eastAsia="仿宋_GB2312"/>
          <w:sz w:val="32"/>
          <w:szCs w:val="28"/>
        </w:rPr>
        <w:t>鉴于此，本人郑重承诺：本人有专业能力履职，有时间保障履职，愿意投入时间履职。若本人一年内无正当理由两次不参加委员会活动或者经年度考评不称职，本人</w:t>
      </w:r>
      <w:r>
        <w:rPr>
          <w:rFonts w:hint="eastAsia" w:ascii="仿宋_GB2312" w:hAnsi="仿宋" w:eastAsia="仿宋_GB2312"/>
          <w:color w:val="000000"/>
          <w:sz w:val="32"/>
          <w:szCs w:val="28"/>
        </w:rPr>
        <w:t>承诺作自动</w:t>
      </w:r>
      <w:r>
        <w:rPr>
          <w:rFonts w:hint="eastAsia" w:ascii="仿宋_GB2312" w:hAnsi="仿宋" w:eastAsia="仿宋_GB2312"/>
          <w:sz w:val="32"/>
          <w:szCs w:val="28"/>
        </w:rPr>
        <w:t>退出委员会处理。</w:t>
      </w:r>
    </w:p>
    <w:p w14:paraId="02DDA0C6">
      <w:pPr>
        <w:spacing w:line="520" w:lineRule="exact"/>
        <w:ind w:firstLine="640" w:firstLineChars="200"/>
        <w:rPr>
          <w:rFonts w:ascii="仿宋_GB2312" w:hAnsi="仿宋" w:eastAsia="仿宋_GB2312"/>
          <w:sz w:val="32"/>
          <w:szCs w:val="28"/>
        </w:rPr>
      </w:pPr>
    </w:p>
    <w:p w14:paraId="6DE83464">
      <w:pPr>
        <w:spacing w:line="520" w:lineRule="exact"/>
        <w:ind w:firstLine="640" w:firstLineChars="200"/>
        <w:jc w:val="center"/>
        <w:rPr>
          <w:rFonts w:ascii="仿宋_GB2312" w:hAnsi="仿宋" w:eastAsia="仿宋_GB2312"/>
          <w:sz w:val="32"/>
          <w:szCs w:val="28"/>
          <w:u w:val="single"/>
        </w:rPr>
      </w:pPr>
      <w:r>
        <w:rPr>
          <w:rFonts w:hint="eastAsia" w:ascii="仿宋_GB2312" w:hAnsi="仿宋" w:eastAsia="仿宋_GB2312"/>
          <w:sz w:val="32"/>
          <w:szCs w:val="28"/>
        </w:rPr>
        <w:t>承诺人（签名）：</w:t>
      </w:r>
    </w:p>
    <w:p w14:paraId="6E434D46">
      <w:pPr>
        <w:wordWrap w:val="0"/>
        <w:spacing w:line="560" w:lineRule="exact"/>
        <w:ind w:firstLine="640" w:firstLineChars="200"/>
        <w:jc w:val="right"/>
        <w:rPr>
          <w:rFonts w:ascii="仿宋_GB2312" w:hAnsi="仿宋" w:eastAsia="仿宋_GB2312"/>
          <w:sz w:val="32"/>
          <w:szCs w:val="28"/>
        </w:rPr>
      </w:pPr>
      <w:r>
        <w:rPr>
          <w:rFonts w:ascii="仿宋_GB2312" w:hAnsi="仿宋" w:eastAsia="仿宋_GB2312"/>
          <w:sz w:val="32"/>
          <w:szCs w:val="28"/>
        </w:rPr>
        <w:t>20</w:t>
      </w:r>
      <w:r>
        <w:rPr>
          <w:rFonts w:hint="eastAsia" w:ascii="仿宋_GB2312" w:hAnsi="仿宋" w:eastAsia="仿宋_GB2312"/>
          <w:sz w:val="32"/>
          <w:szCs w:val="28"/>
        </w:rPr>
        <w:t>2</w:t>
      </w:r>
      <w:r>
        <w:rPr>
          <w:rFonts w:hint="eastAsia" w:ascii="仿宋_GB2312" w:hAnsi="仿宋" w:eastAsia="仿宋_GB2312"/>
          <w:sz w:val="32"/>
          <w:szCs w:val="28"/>
          <w:lang w:val="en-US" w:eastAsia="zh-CN"/>
        </w:rPr>
        <w:t>6</w:t>
      </w:r>
      <w:r>
        <w:rPr>
          <w:rFonts w:hint="eastAsia" w:ascii="仿宋_GB2312" w:hAnsi="仿宋_GB2312" w:eastAsia="仿宋_GB2312" w:cs="仿宋_GB2312"/>
          <w:sz w:val="32"/>
          <w:szCs w:val="28"/>
        </w:rPr>
        <w:t>年</w:t>
      </w:r>
      <w:r>
        <w:rPr>
          <w:rFonts w:ascii="仿宋_GB2312" w:hAnsi="仿宋_GB2312" w:eastAsia="仿宋_GB2312" w:cs="仿宋_GB2312"/>
          <w:sz w:val="32"/>
          <w:szCs w:val="28"/>
        </w:rPr>
        <w:t xml:space="preserve">   </w:t>
      </w:r>
      <w:r>
        <w:rPr>
          <w:rFonts w:hint="eastAsia" w:ascii="仿宋_GB2312" w:hAnsi="仿宋" w:eastAsia="仿宋_GB2312"/>
          <w:sz w:val="32"/>
          <w:szCs w:val="28"/>
        </w:rPr>
        <w:t>月</w:t>
      </w:r>
      <w:r>
        <w:rPr>
          <w:rFonts w:ascii="仿宋_GB2312" w:hAnsi="仿宋" w:eastAsia="仿宋_GB2312"/>
          <w:sz w:val="32"/>
          <w:szCs w:val="28"/>
        </w:rPr>
        <w:t xml:space="preserve">   </w:t>
      </w:r>
      <w:r>
        <w:rPr>
          <w:rFonts w:hint="eastAsia" w:ascii="仿宋_GB2312" w:hAnsi="仿宋" w:eastAsia="仿宋_GB2312"/>
          <w:sz w:val="32"/>
          <w:szCs w:val="28"/>
        </w:rPr>
        <w:t>日</w:t>
      </w:r>
      <w:r>
        <w:rPr>
          <w:rFonts w:ascii="仿宋_GB2312" w:hAnsi="仿宋" w:eastAsia="仿宋_GB2312"/>
          <w:sz w:val="32"/>
          <w:szCs w:val="28"/>
        </w:rPr>
        <w:t xml:space="preserve">     </w:t>
      </w:r>
    </w:p>
    <w:sectPr>
      <w:pgSz w:w="11900" w:h="16840"/>
      <w:pgMar w:top="2098" w:right="1474" w:bottom="1985" w:left="1588" w:header="851" w:footer="1361" w:gutter="0"/>
      <w:pgNumType w:fmt="numberInDash" w:start="16"/>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C223CFB-E704-4758-849D-18272F69137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微软简标宋">
    <w:altName w:val="方正舒体"/>
    <w:panose1 w:val="00000000000000000000"/>
    <w:charset w:val="86"/>
    <w:family w:val="auto"/>
    <w:pitch w:val="default"/>
    <w:sig w:usb0="00000000" w:usb1="00000000" w:usb2="00000010" w:usb3="00000000" w:csb0="00040000" w:csb1="00000000"/>
    <w:embedRegular r:id="rId2" w:fontKey="{A551DE2B-23D2-4242-8FD8-E2808DEC4ECC}"/>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3" w:fontKey="{DCEA840C-5B04-4069-9141-DC127EC2E258}"/>
  </w:font>
  <w:font w:name="楷体_GB2312">
    <w:altName w:val="楷体"/>
    <w:panose1 w:val="00000000000000000000"/>
    <w:charset w:val="86"/>
    <w:family w:val="modern"/>
    <w:pitch w:val="default"/>
    <w:sig w:usb0="00000000" w:usb1="00000000" w:usb2="00000010" w:usb3="00000000" w:csb0="00040000" w:csb1="00000000"/>
    <w:embedRegular r:id="rId4" w:fontKey="{BD5B202A-28FB-4C01-8E9F-BDFA2603DBB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embedRegular r:id="rId5" w:fontKey="{DE1739C3-7D62-4AE3-8643-A5B38DE1CB70}"/>
  </w:font>
  <w:font w:name="仿宋_GB2312">
    <w:altName w:val="仿宋"/>
    <w:panose1 w:val="00000000000000000000"/>
    <w:charset w:val="86"/>
    <w:family w:val="auto"/>
    <w:pitch w:val="default"/>
    <w:sig w:usb0="00000000" w:usb1="00000000" w:usb2="00000000" w:usb3="00000000" w:csb0="00040000" w:csb1="00000000"/>
    <w:embedRegular r:id="rId6" w:fontKey="{8289C1F4-3366-4BA3-8ABA-F410B5C378D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20"/>
  <w:drawingGridVerticalSpacing w:val="163"/>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F1359"/>
    <w:rsid w:val="00010341"/>
    <w:rsid w:val="00023A9F"/>
    <w:rsid w:val="00032FDD"/>
    <w:rsid w:val="000810EF"/>
    <w:rsid w:val="000814FF"/>
    <w:rsid w:val="000D0835"/>
    <w:rsid w:val="00150B52"/>
    <w:rsid w:val="001662B5"/>
    <w:rsid w:val="0018773D"/>
    <w:rsid w:val="001F2DA7"/>
    <w:rsid w:val="00361805"/>
    <w:rsid w:val="00381EAC"/>
    <w:rsid w:val="003C4157"/>
    <w:rsid w:val="00404CCA"/>
    <w:rsid w:val="00446D65"/>
    <w:rsid w:val="004D6DB6"/>
    <w:rsid w:val="0053678B"/>
    <w:rsid w:val="005C2E3C"/>
    <w:rsid w:val="00663706"/>
    <w:rsid w:val="006A0197"/>
    <w:rsid w:val="006E165E"/>
    <w:rsid w:val="00721224"/>
    <w:rsid w:val="0072246E"/>
    <w:rsid w:val="00757B22"/>
    <w:rsid w:val="007A0036"/>
    <w:rsid w:val="007D02E4"/>
    <w:rsid w:val="007D4102"/>
    <w:rsid w:val="007E642C"/>
    <w:rsid w:val="00861A56"/>
    <w:rsid w:val="00890DA9"/>
    <w:rsid w:val="008E646E"/>
    <w:rsid w:val="008F5C59"/>
    <w:rsid w:val="0094284E"/>
    <w:rsid w:val="00987966"/>
    <w:rsid w:val="009D2AF2"/>
    <w:rsid w:val="009D5C65"/>
    <w:rsid w:val="00A909C2"/>
    <w:rsid w:val="00AD4D4D"/>
    <w:rsid w:val="00AE1B7A"/>
    <w:rsid w:val="00B01DCE"/>
    <w:rsid w:val="00BB1B81"/>
    <w:rsid w:val="00C3489F"/>
    <w:rsid w:val="00C87682"/>
    <w:rsid w:val="00CA21A3"/>
    <w:rsid w:val="00CA438F"/>
    <w:rsid w:val="00D12777"/>
    <w:rsid w:val="00D4360B"/>
    <w:rsid w:val="00D4531E"/>
    <w:rsid w:val="00D6668B"/>
    <w:rsid w:val="00D719BC"/>
    <w:rsid w:val="00D8740C"/>
    <w:rsid w:val="00E65B12"/>
    <w:rsid w:val="00E772DC"/>
    <w:rsid w:val="00E80DBC"/>
    <w:rsid w:val="00EA4DAF"/>
    <w:rsid w:val="00ED006C"/>
    <w:rsid w:val="00F04170"/>
    <w:rsid w:val="00F44189"/>
    <w:rsid w:val="00FB4531"/>
    <w:rsid w:val="00FF1359"/>
    <w:rsid w:val="19A12B46"/>
    <w:rsid w:val="1E531D2F"/>
    <w:rsid w:val="5BFF123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4"/>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qFormat/>
    <w:uiPriority w:val="99"/>
    <w:rPr>
      <w:kern w:val="0"/>
      <w:sz w:val="18"/>
      <w:szCs w:val="18"/>
    </w:rPr>
  </w:style>
  <w:style w:type="paragraph" w:styleId="3">
    <w:name w:val="footer"/>
    <w:basedOn w:val="1"/>
    <w:link w:val="8"/>
    <w:qFormat/>
    <w:uiPriority w:val="99"/>
    <w:pPr>
      <w:tabs>
        <w:tab w:val="center" w:pos="4153"/>
        <w:tab w:val="right" w:pos="8306"/>
      </w:tabs>
      <w:snapToGrid w:val="0"/>
      <w:jc w:val="left"/>
    </w:pPr>
    <w:rPr>
      <w:sz w:val="18"/>
      <w:szCs w:val="20"/>
    </w:rPr>
  </w:style>
  <w:style w:type="paragraph" w:styleId="4">
    <w:name w:val="header"/>
    <w:basedOn w:val="1"/>
    <w:link w:val="7"/>
    <w:qFormat/>
    <w:uiPriority w:val="99"/>
    <w:pPr>
      <w:pBdr>
        <w:bottom w:val="single" w:color="auto" w:sz="6" w:space="1"/>
      </w:pBdr>
      <w:tabs>
        <w:tab w:val="center" w:pos="4153"/>
        <w:tab w:val="right" w:pos="8306"/>
      </w:tabs>
      <w:snapToGrid w:val="0"/>
      <w:jc w:val="center"/>
    </w:pPr>
    <w:rPr>
      <w:sz w:val="18"/>
      <w:szCs w:val="20"/>
    </w:rPr>
  </w:style>
  <w:style w:type="character" w:customStyle="1" w:styleId="7">
    <w:name w:val="页眉 Char"/>
    <w:link w:val="4"/>
    <w:qFormat/>
    <w:locked/>
    <w:uiPriority w:val="99"/>
    <w:rPr>
      <w:rFonts w:ascii="等线" w:hAnsi="等线" w:eastAsia="等线" w:cs="Times New Roman"/>
      <w:kern w:val="2"/>
      <w:sz w:val="18"/>
    </w:rPr>
  </w:style>
  <w:style w:type="character" w:customStyle="1" w:styleId="8">
    <w:name w:val="页脚 Char"/>
    <w:link w:val="3"/>
    <w:qFormat/>
    <w:locked/>
    <w:uiPriority w:val="99"/>
    <w:rPr>
      <w:rFonts w:ascii="等线" w:hAnsi="等线" w:eastAsia="等线" w:cs="Times New Roman"/>
      <w:kern w:val="2"/>
      <w:sz w:val="18"/>
    </w:rPr>
  </w:style>
  <w:style w:type="character" w:customStyle="1" w:styleId="9">
    <w:name w:val="批注框文本 Char"/>
    <w:link w:val="2"/>
    <w:semiHidden/>
    <w:qFormat/>
    <w:locked/>
    <w:uiPriority w:val="99"/>
    <w:rPr>
      <w:rFonts w:ascii="等线" w:hAnsi="等线" w:eastAsia="等线" w:cs="Times New Roman"/>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378</Words>
  <Characters>388</Characters>
  <Lines>3</Lines>
  <Paragraphs>1</Paragraphs>
  <TotalTime>20</TotalTime>
  <ScaleCrop>false</ScaleCrop>
  <LinksUpToDate>false</LinksUpToDate>
  <CharactersWithSpaces>446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2017-12-14T09:59:00Z</dcterms:created>
  <dc:creator>101540</dc:creator>
  <cp:lastModifiedBy>江门市律师协会</cp:lastModifiedBy>
  <dcterms:modified xsi:type="dcterms:W3CDTF">2026-07-22T02:59:44Z</dcterms:modified>
  <dc:title>101540</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eyJoZGlkIjoiYWRkZDkwNTZiZjljODEwMmEyYzk0ODJmMjllODY1OWIiLCJ1c2VySWQiOiI1NTgwMzM1ODIifQ==</vt:lpwstr>
  </property>
  <property fmtid="{D5CDD505-2E9C-101B-9397-08002B2CF9AE}" pid="3" name="KSOProductBuildVer">
    <vt:lpwstr>2052-12.1.0.26895</vt:lpwstr>
  </property>
  <property fmtid="{D5CDD505-2E9C-101B-9397-08002B2CF9AE}" pid="4" name="ICV">
    <vt:lpwstr>8A9985865AB447F3BA4E840EA1774791_12</vt:lpwstr>
  </property>
</Properties>
</file>